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349" w:tblpY="13854"/>
        <w:tblW w:w="0" w:type="auto"/>
        <w:tblLook w:val="0000" w:firstRow="0" w:lastRow="0" w:firstColumn="0" w:lastColumn="0" w:noHBand="0" w:noVBand="0"/>
      </w:tblPr>
      <w:tblGrid>
        <w:gridCol w:w="2905"/>
        <w:gridCol w:w="2975"/>
      </w:tblGrid>
      <w:tr w:rsidR="00484B58" w14:paraId="6F13EAF4" w14:textId="77777777" w:rsidTr="00484B58">
        <w:trPr>
          <w:trHeight w:val="1370"/>
        </w:trPr>
        <w:tc>
          <w:tcPr>
            <w:tcW w:w="2905" w:type="dxa"/>
          </w:tcPr>
          <w:p w14:paraId="61CE8C60" w14:textId="77777777" w:rsidR="00484B58" w:rsidRPr="00484B58" w:rsidRDefault="00484B58" w:rsidP="00484B58">
            <w:pPr>
              <w:pStyle w:val="NoSpacing"/>
              <w:framePr w:hSpace="0" w:wrap="auto" w:vAnchor="margin" w:xAlign="left" w:yAlign="inline"/>
              <w:rPr>
                <w:sz w:val="24"/>
                <w:szCs w:val="24"/>
              </w:rPr>
            </w:pPr>
            <w:r w:rsidRPr="00484B58">
              <w:rPr>
                <w:sz w:val="24"/>
                <w:szCs w:val="24"/>
              </w:rPr>
              <w:t>19 Oxford Road</w:t>
            </w:r>
          </w:p>
          <w:p w14:paraId="4BEC32B7" w14:textId="77777777" w:rsidR="00484B58" w:rsidRPr="00484B58" w:rsidRDefault="00484B58" w:rsidP="00484B58">
            <w:pPr>
              <w:pStyle w:val="NoSpacing"/>
              <w:framePr w:hSpace="0" w:wrap="auto" w:vAnchor="margin" w:xAlign="left" w:yAlign="inline"/>
              <w:rPr>
                <w:sz w:val="24"/>
                <w:szCs w:val="24"/>
              </w:rPr>
            </w:pPr>
            <w:r w:rsidRPr="00484B58">
              <w:rPr>
                <w:sz w:val="24"/>
                <w:szCs w:val="24"/>
              </w:rPr>
              <w:t xml:space="preserve">Suite 221, </w:t>
            </w:r>
          </w:p>
          <w:p w14:paraId="3F626947" w14:textId="77777777" w:rsidR="00484B58" w:rsidRPr="00484B58" w:rsidRDefault="00484B58" w:rsidP="00484B58">
            <w:pPr>
              <w:pStyle w:val="NoSpacing"/>
              <w:framePr w:hSpace="0" w:wrap="auto" w:vAnchor="margin" w:xAlign="left" w:yAlign="inline"/>
              <w:rPr>
                <w:sz w:val="24"/>
                <w:szCs w:val="24"/>
              </w:rPr>
            </w:pPr>
            <w:r w:rsidRPr="00484B58">
              <w:rPr>
                <w:sz w:val="24"/>
                <w:szCs w:val="24"/>
              </w:rPr>
              <w:t>Bournemouth, Dorset</w:t>
            </w:r>
          </w:p>
          <w:p w14:paraId="3D6D979E" w14:textId="77777777" w:rsidR="00484B58" w:rsidRDefault="00484B58" w:rsidP="00484B58">
            <w:pPr>
              <w:pStyle w:val="NoSpacing"/>
              <w:framePr w:hSpace="0" w:wrap="auto" w:vAnchor="margin" w:xAlign="left" w:yAlign="inline"/>
            </w:pPr>
            <w:r w:rsidRPr="00484B58">
              <w:rPr>
                <w:sz w:val="24"/>
                <w:szCs w:val="24"/>
              </w:rPr>
              <w:t>BH8 8GS</w:t>
            </w:r>
          </w:p>
        </w:tc>
        <w:tc>
          <w:tcPr>
            <w:tcW w:w="2975" w:type="dxa"/>
          </w:tcPr>
          <w:p w14:paraId="305E6589" w14:textId="77777777" w:rsidR="00484B58" w:rsidRPr="000E7E1B" w:rsidRDefault="00484B58" w:rsidP="00484B58">
            <w:pPr>
              <w:pStyle w:val="Content"/>
              <w:framePr w:hSpace="0" w:wrap="auto" w:vAnchor="margin" w:xAlign="left" w:yAlign="inline"/>
            </w:pPr>
          </w:p>
          <w:p w14:paraId="306A0A25" w14:textId="2AAA7740" w:rsidR="00484B58" w:rsidRPr="000E7E1B" w:rsidRDefault="00484B58" w:rsidP="00484B58">
            <w:pPr>
              <w:pStyle w:val="Content"/>
              <w:framePr w:hSpace="0" w:wrap="auto" w:vAnchor="margin" w:xAlign="left" w:yAlign="inline"/>
            </w:pPr>
            <w:r w:rsidRPr="000E7E1B">
              <w:t xml:space="preserve">Phone:  </w:t>
            </w:r>
            <w:r w:rsidRPr="00484B58">
              <w:t>01202 497665</w:t>
            </w:r>
          </w:p>
        </w:tc>
      </w:tr>
    </w:tbl>
    <w:tbl>
      <w:tblPr>
        <w:tblpPr w:leftFromText="180" w:rightFromText="180" w:vertAnchor="text" w:horzAnchor="margin" w:tblpXSpec="center" w:tblpY="1981"/>
        <w:tblW w:w="0" w:type="auto"/>
        <w:tblLook w:val="0000" w:firstRow="0" w:lastRow="0" w:firstColumn="0" w:lastColumn="0" w:noHBand="0" w:noVBand="0"/>
      </w:tblPr>
      <w:tblGrid>
        <w:gridCol w:w="3960"/>
        <w:gridCol w:w="6251"/>
      </w:tblGrid>
      <w:tr w:rsidR="00484B58" w14:paraId="4FCD4D7B" w14:textId="77777777" w:rsidTr="00484B58">
        <w:trPr>
          <w:trHeight w:val="50"/>
        </w:trPr>
        <w:tc>
          <w:tcPr>
            <w:tcW w:w="3960" w:type="dxa"/>
            <w:tcBorders>
              <w:bottom w:val="single" w:sz="24" w:space="0" w:color="2664B0" w:themeColor="accent3"/>
            </w:tcBorders>
          </w:tcPr>
          <w:p w14:paraId="2426BCE9" w14:textId="004FD54B" w:rsidR="00484B58" w:rsidRDefault="00484B58" w:rsidP="00484B58">
            <w:pPr>
              <w:framePr w:hSpace="0" w:wrap="auto" w:vAnchor="margin" w:xAlign="left" w:yAlign="inline"/>
              <w:rPr>
                <w:noProof/>
              </w:rPr>
            </w:pPr>
          </w:p>
        </w:tc>
        <w:tc>
          <w:tcPr>
            <w:tcW w:w="6251" w:type="dxa"/>
          </w:tcPr>
          <w:p w14:paraId="7D2A034B" w14:textId="17DD753D" w:rsidR="00484B58" w:rsidRDefault="00484B58" w:rsidP="00484B58">
            <w:pPr>
              <w:framePr w:hSpace="0" w:wrap="auto" w:vAnchor="margin" w:xAlign="left" w:yAlign="inline"/>
              <w:rPr>
                <w:noProof/>
              </w:rPr>
            </w:pPr>
          </w:p>
        </w:tc>
      </w:tr>
      <w:tr w:rsidR="00484B58" w14:paraId="297F6EED" w14:textId="77777777" w:rsidTr="00484B58">
        <w:trPr>
          <w:trHeight w:val="6707"/>
        </w:trPr>
        <w:tc>
          <w:tcPr>
            <w:tcW w:w="10211" w:type="dxa"/>
            <w:gridSpan w:val="2"/>
            <w:tcBorders>
              <w:top w:val="single" w:sz="24" w:space="0" w:color="2664B0" w:themeColor="accent3"/>
            </w:tcBorders>
          </w:tcPr>
          <w:p w14:paraId="12223DA1" w14:textId="77777777" w:rsidR="00484B58" w:rsidRDefault="00484B58" w:rsidP="00484B58">
            <w:pPr>
              <w:framePr w:hSpace="0" w:wrap="auto" w:vAnchor="margin" w:xAlign="left" w:yAlign="inline"/>
            </w:pPr>
            <w:r>
              <w:rPr>
                <w:noProof/>
              </w:rPr>
              <mc:AlternateContent>
                <mc:Choice Requires="wps">
                  <w:drawing>
                    <wp:inline distT="0" distB="0" distL="0" distR="0" wp14:anchorId="0C04487B" wp14:editId="185376D2">
                      <wp:extent cx="5838825" cy="791570"/>
                      <wp:effectExtent l="0" t="0" r="0" b="0"/>
                      <wp:docPr id="10" name="Text Box 10"/>
                      <wp:cNvGraphicFramePr/>
                      <a:graphic xmlns:a="http://schemas.openxmlformats.org/drawingml/2006/main">
                        <a:graphicData uri="http://schemas.microsoft.com/office/word/2010/wordprocessingShape">
                          <wps:wsp>
                            <wps:cNvSpPr txBox="1"/>
                            <wps:spPr>
                              <a:xfrm>
                                <a:off x="0" y="0"/>
                                <a:ext cx="5838825" cy="791570"/>
                              </a:xfrm>
                              <a:prstGeom prst="rect">
                                <a:avLst/>
                              </a:prstGeom>
                              <a:noFill/>
                              <a:ln w="6350">
                                <a:noFill/>
                              </a:ln>
                            </wps:spPr>
                            <wps:txbx>
                              <w:txbxContent>
                                <w:p w14:paraId="2CE870F5" w14:textId="3F0883A0" w:rsidR="00484B58" w:rsidRPr="008F496A" w:rsidRDefault="004D2696" w:rsidP="00484B58">
                                  <w:pPr>
                                    <w:pStyle w:val="Heading1"/>
                                    <w:jc w:val="right"/>
                                    <w:rPr>
                                      <w:lang w:val="en-US"/>
                                    </w:rPr>
                                  </w:pPr>
                                  <w:r w:rsidRPr="004D2696">
                                    <w:rPr>
                                      <w:bCs/>
                                      <w:lang w:val="en-US"/>
                                    </w:rPr>
                                    <w:t>What is Employers NI and why do I have to pay it?</w:t>
                                  </w:r>
                                </w:p>
                                <w:p w14:paraId="6C424423" w14:textId="77777777" w:rsidR="00484B58" w:rsidRPr="00E764DA" w:rsidRDefault="00484B58" w:rsidP="00484B58">
                                  <w:pPr>
                                    <w:pStyle w:val="Heading1"/>
                                  </w:pPr>
                                </w:p>
                              </w:txbxContent>
                            </wps:txbx>
                            <wps:bodyPr rot="0" spcFirstLastPara="0" vertOverflow="overflow" horzOverflow="overflow" vert="horz" wrap="square" lIns="91440" tIns="274320" rIns="91440" bIns="45720" numCol="1" spcCol="0" rtlCol="0" fromWordArt="0" anchor="t" anchorCtr="0" forceAA="0" compatLnSpc="1">
                              <a:prstTxWarp prst="textNoShape">
                                <a:avLst/>
                              </a:prstTxWarp>
                              <a:noAutofit/>
                            </wps:bodyPr>
                          </wps:wsp>
                        </a:graphicData>
                      </a:graphic>
                    </wp:inline>
                  </w:drawing>
                </mc:Choice>
                <mc:Fallback>
                  <w:pict>
                    <v:shapetype w14:anchorId="0C04487B" id="_x0000_t202" coordsize="21600,21600" o:spt="202" path="m,l,21600r21600,l21600,xe">
                      <v:stroke joinstyle="miter"/>
                      <v:path gradientshapeok="t" o:connecttype="rect"/>
                    </v:shapetype>
                    <v:shape id="Text Box 10" o:spid="_x0000_s1026" type="#_x0000_t202" style="width:459.75pt;height:6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" filled="f" stroked="f" strokeweight=".5pt">
                      <v:textbox inset=",21.6pt">
                        <w:txbxContent>
                          <w:p w14:paraId="2CE870F5" w14:textId="3F0883A0" w:rsidR="00484B58" w:rsidRPr="008F496A" w:rsidRDefault="004D2696" w:rsidP="00484B58">
                            <w:pPr>
                              <w:pStyle w:val="Heading1"/>
                              <w:jc w:val="right"/>
                              <w:rPr>
                                <w:lang w:val="en-US"/>
                              </w:rPr>
                            </w:pPr>
                            <w:r w:rsidRPr="004D2696">
                              <w:rPr>
                                <w:bCs/>
                                <w:lang w:val="en-US"/>
                              </w:rPr>
                              <w:t>What is Employers NI and why do I have to pay it?</w:t>
                            </w:r>
                          </w:p>
                          <w:p w14:paraId="6C424423" w14:textId="77777777" w:rsidR="00484B58" w:rsidRPr="00E764DA" w:rsidRDefault="00484B58" w:rsidP="00484B58">
                            <w:pPr>
                              <w:pStyle w:val="Heading1"/>
                            </w:pPr>
                          </w:p>
                        </w:txbxContent>
                      </v:textbox>
                      <w10:anchorlock/>
                    </v:shape>
                  </w:pict>
                </mc:Fallback>
              </mc:AlternateContent>
            </w:r>
          </w:p>
          <w:p w14:paraId="46A30A14" w14:textId="77777777" w:rsidR="00484B58" w:rsidRDefault="00484B58" w:rsidP="00484B58">
            <w:pPr>
              <w:framePr w:hSpace="0" w:wrap="auto" w:vAnchor="margin" w:xAlign="left" w:yAlign="inline"/>
            </w:pPr>
            <w:r>
              <w:rPr>
                <w:noProof/>
              </w:rPr>
              <mc:AlternateContent>
                <mc:Choice Requires="wps">
                  <w:drawing>
                    <wp:inline distT="0" distB="0" distL="0" distR="0" wp14:anchorId="67349E92" wp14:editId="059D9564">
                      <wp:extent cx="6237027" cy="4843463"/>
                      <wp:effectExtent l="0" t="0" r="0" b="0"/>
                      <wp:docPr id="12" name="Text Box 12"/>
                      <wp:cNvGraphicFramePr/>
                      <a:graphic xmlns:a="http://schemas.openxmlformats.org/drawingml/2006/main">
                        <a:graphicData uri="http://schemas.microsoft.com/office/word/2010/wordprocessingShape">
                          <wps:wsp>
                            <wps:cNvSpPr txBox="1"/>
                            <wps:spPr>
                              <a:xfrm>
                                <a:off x="0" y="0"/>
                                <a:ext cx="6237027" cy="4843463"/>
                              </a:xfrm>
                              <a:prstGeom prst="rect">
                                <a:avLst/>
                              </a:prstGeom>
                              <a:noFill/>
                              <a:ln w="6350">
                                <a:noFill/>
                              </a:ln>
                            </wps:spPr>
                            <wps:txbx>
                              <w:txbxContent>
                                <w:p w14:paraId="5B27ED08" w14:textId="476108A5" w:rsidR="004D2696" w:rsidRDefault="004D2696" w:rsidP="004D2696">
                                  <w:pPr>
                                    <w:jc w:val="both"/>
                                    <w:rPr>
                                      <w:szCs w:val="26"/>
                                      <w:lang w:val="en-US" w:bidi="de-DE"/>
                                    </w:rPr>
                                  </w:pPr>
                                  <w:r w:rsidRPr="004D2696">
                                    <w:rPr>
                                      <w:szCs w:val="26"/>
                                      <w:lang w:val="en-US" w:bidi="de-DE"/>
                                    </w:rPr>
                                    <w:t>In permanent employment it is the company that is liable for the Employer’s National Insurance contribution (NIC). Through an Umbrella Company, it is no different and the Employers NIC still needs to be paid on your assignment income. The rate you are offered to work through an Umbrella Company should be adjusted to allow for the fact.</w:t>
                                  </w:r>
                                </w:p>
                                <w:p w14:paraId="70956AC5" w14:textId="77777777" w:rsidR="004D2696" w:rsidRPr="004D2696" w:rsidRDefault="004D2696" w:rsidP="004D2696">
                                  <w:pPr>
                                    <w:jc w:val="both"/>
                                    <w:rPr>
                                      <w:szCs w:val="26"/>
                                      <w:lang w:val="en-US" w:bidi="de-DE"/>
                                    </w:rPr>
                                  </w:pPr>
                                </w:p>
                                <w:p w14:paraId="25BD35A2" w14:textId="2F2DF6B0" w:rsidR="004D2696" w:rsidRDefault="004D2696" w:rsidP="004D2696">
                                  <w:pPr>
                                    <w:jc w:val="both"/>
                                    <w:rPr>
                                      <w:szCs w:val="26"/>
                                      <w:lang w:val="en-US" w:bidi="de-DE"/>
                                    </w:rPr>
                                  </w:pPr>
                                  <w:r w:rsidRPr="004D2696">
                                    <w:rPr>
                                      <w:szCs w:val="26"/>
                                      <w:lang w:val="en-US" w:bidi="de-DE"/>
                                    </w:rPr>
                                    <w:t xml:space="preserve">This therefore needs to be taken into consideration when negotiating your pay rate with the agency or end client. </w:t>
                                  </w:r>
                                </w:p>
                                <w:p w14:paraId="115D7FCD" w14:textId="77777777" w:rsidR="004D2696" w:rsidRPr="004D2696" w:rsidRDefault="004D2696" w:rsidP="004D2696">
                                  <w:pPr>
                                    <w:jc w:val="both"/>
                                    <w:rPr>
                                      <w:szCs w:val="26"/>
                                      <w:lang w:val="en-US" w:bidi="de-DE"/>
                                    </w:rPr>
                                  </w:pPr>
                                </w:p>
                                <w:p w14:paraId="66BF46A4" w14:textId="0978C678" w:rsidR="004D2696" w:rsidRDefault="004D2696" w:rsidP="004D2696">
                                  <w:pPr>
                                    <w:jc w:val="both"/>
                                    <w:rPr>
                                      <w:szCs w:val="26"/>
                                      <w:lang w:val="en-US" w:bidi="de-DE"/>
                                    </w:rPr>
                                  </w:pPr>
                                  <w:r w:rsidRPr="004D2696">
                                    <w:rPr>
                                      <w:szCs w:val="26"/>
                                      <w:lang w:val="en-US" w:bidi="de-DE"/>
                                    </w:rPr>
                                    <w:t xml:space="preserve">Employer’s NIC is calculated at 13.8% on earnings above £166 per week and is uncapped so, not taking into account any expenses or the margin that the Umbrella Company retains, this is the minimum uplift you would need on a permanent rate to achieve a similar net pay. As an example of this; you would need to negotiate £18.45 as the minimum hourly contractor rate to take home a similar net pay as a permanent member of staff earning £15.00 per </w:t>
                                  </w:r>
                                  <w:proofErr w:type="gramStart"/>
                                  <w:r w:rsidRPr="004D2696">
                                    <w:rPr>
                                      <w:szCs w:val="26"/>
                                      <w:lang w:val="en-US" w:bidi="de-DE"/>
                                    </w:rPr>
                                    <w:t>hour.(</w:t>
                                  </w:r>
                                  <w:proofErr w:type="gramEnd"/>
                                  <w:r w:rsidRPr="004D2696">
                                    <w:rPr>
                                      <w:szCs w:val="26"/>
                                      <w:lang w:val="en-US" w:bidi="de-DE"/>
                                    </w:rPr>
                                    <w:t>This is only an example of rates).</w:t>
                                  </w:r>
                                </w:p>
                                <w:p w14:paraId="7962925A" w14:textId="77777777" w:rsidR="004D2696" w:rsidRPr="004D2696" w:rsidRDefault="004D2696" w:rsidP="004D2696">
                                  <w:pPr>
                                    <w:jc w:val="both"/>
                                    <w:rPr>
                                      <w:szCs w:val="26"/>
                                      <w:lang w:val="en-US" w:bidi="de-DE"/>
                                    </w:rPr>
                                  </w:pPr>
                                </w:p>
                                <w:p w14:paraId="180592E0" w14:textId="5305E3A9" w:rsidR="00484B58" w:rsidRPr="000E7E1B" w:rsidRDefault="004D2696" w:rsidP="004D2696">
                                  <w:pPr>
                                    <w:jc w:val="both"/>
                                    <w:rPr>
                                      <w:b/>
                                      <w:szCs w:val="26"/>
                                    </w:rPr>
                                  </w:pPr>
                                  <w:r w:rsidRPr="004D2696">
                                    <w:rPr>
                                      <w:szCs w:val="26"/>
                                      <w:lang w:val="en-US" w:bidi="de-DE"/>
                                    </w:rPr>
                                    <w:t>You should be offered a higher rate, to have your pay processed through an Umbrella Company. The higher rate is offered if you are being paid through an Umbrella Company because they are liable to pay the contribution. Provided the rate offered is greater than 13.8%, you will be better off through an Umbrella Company because there are certain business expenses that you may be entitled to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349E92" id="Text Box 12" o:spid="_x0000_s1027" type="#_x0000_t202" style="width:491.1pt;height:3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" filled="f" stroked="f" strokeweight=".5pt">
                      <v:textbox>
                        <w:txbxContent>
                          <w:p w14:paraId="5B27ED08" w14:textId="476108A5" w:rsidR="004D2696" w:rsidRDefault="004D2696" w:rsidP="004D2696">
                            <w:pPr>
                              <w:jc w:val="both"/>
                              <w:rPr>
                                <w:szCs w:val="26"/>
                                <w:lang w:val="en-US" w:bidi="de-DE"/>
                              </w:rPr>
                            </w:pPr>
                            <w:r w:rsidRPr="004D2696">
                              <w:rPr>
                                <w:szCs w:val="26"/>
                                <w:lang w:val="en-US" w:bidi="de-DE"/>
                              </w:rPr>
                              <w:t>In permanent employment it is the company that is liable for the Employer’s National Insurance contribution (NIC). Through an Umbrella Company, it is no different and the Employers NIC still needs to be paid on your assignment income. The rate you are offered to work through an Umbrella Company should be adjusted to allow for the fact.</w:t>
                            </w:r>
                          </w:p>
                          <w:p w14:paraId="70956AC5" w14:textId="77777777" w:rsidR="004D2696" w:rsidRPr="004D2696" w:rsidRDefault="004D2696" w:rsidP="004D2696">
                            <w:pPr>
                              <w:jc w:val="both"/>
                              <w:rPr>
                                <w:szCs w:val="26"/>
                                <w:lang w:val="en-US" w:bidi="de-DE"/>
                              </w:rPr>
                            </w:pPr>
                          </w:p>
                          <w:p w14:paraId="25BD35A2" w14:textId="2F2DF6B0" w:rsidR="004D2696" w:rsidRDefault="004D2696" w:rsidP="004D2696">
                            <w:pPr>
                              <w:jc w:val="both"/>
                              <w:rPr>
                                <w:szCs w:val="26"/>
                                <w:lang w:val="en-US" w:bidi="de-DE"/>
                              </w:rPr>
                            </w:pPr>
                            <w:r w:rsidRPr="004D2696">
                              <w:rPr>
                                <w:szCs w:val="26"/>
                                <w:lang w:val="en-US" w:bidi="de-DE"/>
                              </w:rPr>
                              <w:t xml:space="preserve">This therefore needs to be taken into consideration when negotiating your pay rate with the agency or end client. </w:t>
                            </w:r>
                          </w:p>
                          <w:p w14:paraId="115D7FCD" w14:textId="77777777" w:rsidR="004D2696" w:rsidRPr="004D2696" w:rsidRDefault="004D2696" w:rsidP="004D2696">
                            <w:pPr>
                              <w:jc w:val="both"/>
                              <w:rPr>
                                <w:szCs w:val="26"/>
                                <w:lang w:val="en-US" w:bidi="de-DE"/>
                              </w:rPr>
                            </w:pPr>
                          </w:p>
                          <w:p w14:paraId="66BF46A4" w14:textId="0978C678" w:rsidR="004D2696" w:rsidRDefault="004D2696" w:rsidP="004D2696">
                            <w:pPr>
                              <w:jc w:val="both"/>
                              <w:rPr>
                                <w:szCs w:val="26"/>
                                <w:lang w:val="en-US" w:bidi="de-DE"/>
                              </w:rPr>
                            </w:pPr>
                            <w:r w:rsidRPr="004D2696">
                              <w:rPr>
                                <w:szCs w:val="26"/>
                                <w:lang w:val="en-US" w:bidi="de-DE"/>
                              </w:rPr>
                              <w:t xml:space="preserve">Employer’s NIC is calculated at 13.8% on earnings above £166 per week and is uncapped so, not taking into account any expenses or the margin that the Umbrella Company retains, this is the minimum uplift you would need on a permanent rate to achieve a similar net pay. As an example of this; you would need to negotiate £18.45 as the minimum hourly contractor rate to take home a similar net pay as a permanent member of staff earning £15.00 per </w:t>
                            </w:r>
                            <w:proofErr w:type="gramStart"/>
                            <w:r w:rsidRPr="004D2696">
                              <w:rPr>
                                <w:szCs w:val="26"/>
                                <w:lang w:val="en-US" w:bidi="de-DE"/>
                              </w:rPr>
                              <w:t>hour.(</w:t>
                            </w:r>
                            <w:proofErr w:type="gramEnd"/>
                            <w:r w:rsidRPr="004D2696">
                              <w:rPr>
                                <w:szCs w:val="26"/>
                                <w:lang w:val="en-US" w:bidi="de-DE"/>
                              </w:rPr>
                              <w:t>This is only an example of rates).</w:t>
                            </w:r>
                          </w:p>
                          <w:p w14:paraId="7962925A" w14:textId="77777777" w:rsidR="004D2696" w:rsidRPr="004D2696" w:rsidRDefault="004D2696" w:rsidP="004D2696">
                            <w:pPr>
                              <w:jc w:val="both"/>
                              <w:rPr>
                                <w:szCs w:val="26"/>
                                <w:lang w:val="en-US" w:bidi="de-DE"/>
                              </w:rPr>
                            </w:pPr>
                          </w:p>
                          <w:p w14:paraId="180592E0" w14:textId="5305E3A9" w:rsidR="00484B58" w:rsidRPr="000E7E1B" w:rsidRDefault="004D2696" w:rsidP="004D2696">
                            <w:pPr>
                              <w:jc w:val="both"/>
                              <w:rPr>
                                <w:b/>
                                <w:szCs w:val="26"/>
                              </w:rPr>
                            </w:pPr>
                            <w:r w:rsidRPr="004D2696">
                              <w:rPr>
                                <w:szCs w:val="26"/>
                                <w:lang w:val="en-US" w:bidi="de-DE"/>
                              </w:rPr>
                              <w:t>You should be offered a higher rate, to have your pay processed through an Umbrella Company. The higher rate is offered if you are being paid through an Umbrella Company because they are liable to pay the contribution. Provided the rate offered is greater than 13.8%, you will be better off through an Umbrella Company because there are certain business expenses that you may be entitled to claim.</w:t>
                            </w:r>
                          </w:p>
                        </w:txbxContent>
                      </v:textbox>
                      <w10:anchorlock/>
                    </v:shape>
                  </w:pict>
                </mc:Fallback>
              </mc:AlternateContent>
            </w:r>
          </w:p>
          <w:p w14:paraId="77C66AC4" w14:textId="068252DD" w:rsidR="00484B58" w:rsidRDefault="00484B58" w:rsidP="00484B58">
            <w:pPr>
              <w:framePr w:hSpace="0" w:wrap="auto" w:vAnchor="margin" w:xAlign="left" w:yAlign="inline"/>
            </w:pPr>
          </w:p>
          <w:p w14:paraId="11FAE8AD" w14:textId="50B192FE" w:rsidR="00484B58" w:rsidRDefault="00484B58" w:rsidP="00484B58">
            <w:pPr>
              <w:framePr w:hSpace="0" w:wrap="auto" w:vAnchor="margin" w:xAlign="left" w:yAlign="inline"/>
            </w:pPr>
          </w:p>
          <w:p w14:paraId="61BCF7E8" w14:textId="77777777" w:rsidR="00484B58" w:rsidRDefault="00484B58" w:rsidP="00484B58">
            <w:pPr>
              <w:framePr w:hSpace="0" w:wrap="auto" w:vAnchor="margin" w:xAlign="left" w:yAlign="inline"/>
            </w:pPr>
          </w:p>
        </w:tc>
      </w:tr>
    </w:tbl>
    <w:p w14:paraId="709B50CE" w14:textId="0282C899" w:rsidR="00121187" w:rsidRPr="00121187" w:rsidRDefault="00BB1D54" w:rsidP="000E7E1B">
      <w:pPr>
        <w:framePr w:hSpace="0" w:wrap="auto" w:vAnchor="margin" w:xAlign="left" w:yAlign="inline"/>
      </w:pPr>
      <w:r>
        <w:rPr>
          <w:noProof/>
        </w:rPr>
        <w:drawing>
          <wp:anchor distT="0" distB="0" distL="114300" distR="114300" simplePos="0" relativeHeight="251662335" behindDoc="1" locked="0" layoutInCell="1" allowOverlap="1" wp14:anchorId="6E564C94" wp14:editId="72B564E2">
            <wp:simplePos x="0" y="0"/>
            <wp:positionH relativeFrom="column">
              <wp:posOffset>1376363</wp:posOffset>
            </wp:positionH>
            <wp:positionV relativeFrom="page">
              <wp:posOffset>476250</wp:posOffset>
            </wp:positionV>
            <wp:extent cx="4772832" cy="795338"/>
            <wp:effectExtent l="38100" t="19050" r="0" b="81280"/>
            <wp:wrapNone/>
            <wp:docPr id="1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2832" cy="795338"/>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7F6598">
        <w:rPr>
          <w:noProof/>
        </w:rPr>
        <w:t xml:space="preserve"> </w:t>
      </w:r>
      <w:r w:rsidR="007F6598">
        <w:rPr>
          <w:noProof/>
        </w:rPr>
        <w:drawing>
          <wp:anchor distT="0" distB="0" distL="114300" distR="114300" simplePos="0" relativeHeight="251660287" behindDoc="1" locked="0" layoutInCell="1" allowOverlap="1" wp14:anchorId="04C6E4C2" wp14:editId="5D42886B">
            <wp:simplePos x="0" y="0"/>
            <wp:positionH relativeFrom="column">
              <wp:posOffset>6985</wp:posOffset>
            </wp:positionH>
            <wp:positionV relativeFrom="paragraph">
              <wp:posOffset>9730740</wp:posOffset>
            </wp:positionV>
            <wp:extent cx="6173470" cy="488950"/>
            <wp:effectExtent l="0" t="0" r="0" b="0"/>
            <wp:wrapNone/>
            <wp:docPr id="1" name="Graphic 1" descr="gradient colored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gradient colored graphic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3470" cy="488950"/>
                    </a:xfrm>
                    <a:prstGeom prst="rect">
                      <a:avLst/>
                    </a:prstGeom>
                    <a:effectLst>
                      <a:outerShdw blurRad="101600" dist="38100" dir="13500000" algn="br" rotWithShape="0">
                        <a:prstClr val="black">
                          <a:alpha val="40000"/>
                        </a:prstClr>
                      </a:outerShdw>
                    </a:effectLst>
                  </pic:spPr>
                </pic:pic>
              </a:graphicData>
            </a:graphic>
          </wp:anchor>
        </w:drawing>
      </w:r>
      <w:r w:rsidR="007F6598">
        <w:rPr>
          <w:noProof/>
        </w:rPr>
        <w:t xml:space="preserve"> </w:t>
      </w:r>
      <w:r w:rsidR="000E7E1B">
        <w:rPr>
          <w:noProof/>
        </w:rPr>
        <w:t xml:space="preserve"> </w:t>
      </w:r>
    </w:p>
    <w:sectPr w:rsidR="00121187" w:rsidRPr="00121187" w:rsidSect="000E7E1B">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720" w:right="0" w:bottom="720" w:left="0" w:header="0" w:footer="0" w:gutter="0"/>
      <w:pgBorders w:display="notFirstPage" w:offsetFrom="page">
        <w:right w:val="threeDEmboss" w:sz="48" w:space="24" w:color="005893"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DEF8" w14:textId="77777777" w:rsidR="00CA3257" w:rsidRDefault="00CA3257" w:rsidP="000E7E1B">
      <w:pPr>
        <w:framePr w:hSpace="0" w:wrap="auto" w:vAnchor="margin" w:xAlign="left" w:yAlign="inline"/>
      </w:pPr>
      <w:r>
        <w:separator/>
      </w:r>
    </w:p>
  </w:endnote>
  <w:endnote w:type="continuationSeparator" w:id="0">
    <w:p w14:paraId="5E0A8D2F" w14:textId="77777777" w:rsidR="00CA3257" w:rsidRDefault="00CA3257" w:rsidP="000E7E1B">
      <w:pPr>
        <w:framePr w:hSpace="0" w:wrap="auto" w:vAnchor="margin" w:xAlign="left" w:yAlign="in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4957" w14:textId="77777777" w:rsidR="000E7E1B" w:rsidRDefault="000E7E1B" w:rsidP="000E7E1B">
    <w:pPr>
      <w:pStyle w:val="Footer"/>
      <w:framePr w:hSpace="0" w:wrap="auto" w:vAnchor="margin" w:xAlign="left"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5B1D" w14:textId="77777777" w:rsidR="000E7E1B" w:rsidRDefault="000E7E1B" w:rsidP="000E7E1B">
    <w:pPr>
      <w:pStyle w:val="Footer"/>
      <w:framePr w:hSpace="0" w:wrap="auto" w:vAnchor="margin" w:xAlign="left" w:yAlign="in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03E" w14:textId="77777777" w:rsidR="000E7E1B" w:rsidRDefault="000E7E1B" w:rsidP="000E7E1B">
    <w:pPr>
      <w:pStyle w:val="Footer"/>
      <w:framePr w:hSpace="0" w:wrap="auto" w:vAnchor="margin"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DC12" w14:textId="77777777" w:rsidR="00CA3257" w:rsidRDefault="00CA3257" w:rsidP="000E7E1B">
      <w:pPr>
        <w:framePr w:hSpace="0" w:wrap="auto" w:vAnchor="margin" w:xAlign="left" w:yAlign="inline"/>
      </w:pPr>
      <w:r>
        <w:separator/>
      </w:r>
    </w:p>
  </w:footnote>
  <w:footnote w:type="continuationSeparator" w:id="0">
    <w:p w14:paraId="39B2439C" w14:textId="77777777" w:rsidR="00CA3257" w:rsidRDefault="00CA3257" w:rsidP="000E7E1B">
      <w:pPr>
        <w:framePr w:hSpace="0" w:wrap="auto" w:vAnchor="margin" w:xAlign="left" w:yAlign="in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4D90" w14:textId="77777777" w:rsidR="000E7E1B" w:rsidRDefault="000E7E1B" w:rsidP="000E7E1B">
    <w:pPr>
      <w:pStyle w:val="Header"/>
      <w:framePr w:hSpace="0" w:wrap="auto" w:vAnchor="margin" w:xAlign="left"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19F2" w14:textId="77777777" w:rsidR="000E7E1B" w:rsidRDefault="000E7E1B" w:rsidP="000E7E1B">
    <w:pPr>
      <w:pStyle w:val="Header"/>
      <w:framePr w:hSpace="0" w:wrap="auto" w:vAnchor="margin" w:xAlign="left"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32F9" w14:textId="77777777" w:rsidR="000E7E1B" w:rsidRDefault="000E7E1B" w:rsidP="000E7E1B">
    <w:pPr>
      <w:pStyle w:val="Header"/>
      <w:framePr w:hSpace="0" w:wrap="auto" w:vAnchor="margin" w:xAlign="lef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L2svXQe+eeddRRPWtgFKj2oLCVyAdoLnttxSLXVaXfMFW0KPHOOcRtUxqYLvkqqFFRns7mt4G7cZWMDfWe2/Mg==" w:salt="9gp5eAsJgOXuSQSzYXOAgQ=="/>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MjY1szQ2MLc0sjRV0lEKTi0uzszPAykwqgUAhf2yniwAAAA="/>
  </w:docVars>
  <w:rsids>
    <w:rsidRoot w:val="00484B58"/>
    <w:rsid w:val="00004749"/>
    <w:rsid w:val="00026DB1"/>
    <w:rsid w:val="00077CE5"/>
    <w:rsid w:val="00097C6A"/>
    <w:rsid w:val="000B507B"/>
    <w:rsid w:val="000E66AE"/>
    <w:rsid w:val="000E7E1B"/>
    <w:rsid w:val="00121187"/>
    <w:rsid w:val="001434DE"/>
    <w:rsid w:val="00145DE2"/>
    <w:rsid w:val="001535F3"/>
    <w:rsid w:val="001564AA"/>
    <w:rsid w:val="00172642"/>
    <w:rsid w:val="001E10B7"/>
    <w:rsid w:val="001E793D"/>
    <w:rsid w:val="002113B6"/>
    <w:rsid w:val="00231C9E"/>
    <w:rsid w:val="00253349"/>
    <w:rsid w:val="002575CE"/>
    <w:rsid w:val="002679F5"/>
    <w:rsid w:val="00291927"/>
    <w:rsid w:val="002B565A"/>
    <w:rsid w:val="002C064F"/>
    <w:rsid w:val="002E5BC7"/>
    <w:rsid w:val="002E635C"/>
    <w:rsid w:val="0032363F"/>
    <w:rsid w:val="003476AA"/>
    <w:rsid w:val="00382592"/>
    <w:rsid w:val="003A5D82"/>
    <w:rsid w:val="003B1299"/>
    <w:rsid w:val="003C7C80"/>
    <w:rsid w:val="00423824"/>
    <w:rsid w:val="00424685"/>
    <w:rsid w:val="00426104"/>
    <w:rsid w:val="00433DA7"/>
    <w:rsid w:val="00463797"/>
    <w:rsid w:val="00484B58"/>
    <w:rsid w:val="004B77A0"/>
    <w:rsid w:val="004D2696"/>
    <w:rsid w:val="004E2E6C"/>
    <w:rsid w:val="005545BE"/>
    <w:rsid w:val="005A7F8D"/>
    <w:rsid w:val="005B157A"/>
    <w:rsid w:val="005E036A"/>
    <w:rsid w:val="005E383E"/>
    <w:rsid w:val="0063431F"/>
    <w:rsid w:val="006616C1"/>
    <w:rsid w:val="006669FF"/>
    <w:rsid w:val="00684318"/>
    <w:rsid w:val="006855AC"/>
    <w:rsid w:val="0069576C"/>
    <w:rsid w:val="006A746E"/>
    <w:rsid w:val="006B2063"/>
    <w:rsid w:val="0074776E"/>
    <w:rsid w:val="00755E58"/>
    <w:rsid w:val="007604B3"/>
    <w:rsid w:val="00773DAF"/>
    <w:rsid w:val="007E07AB"/>
    <w:rsid w:val="007F44C2"/>
    <w:rsid w:val="007F6598"/>
    <w:rsid w:val="00872F8D"/>
    <w:rsid w:val="00895153"/>
    <w:rsid w:val="008D738B"/>
    <w:rsid w:val="008E0B48"/>
    <w:rsid w:val="00913A62"/>
    <w:rsid w:val="0092171B"/>
    <w:rsid w:val="00963B73"/>
    <w:rsid w:val="00996CDE"/>
    <w:rsid w:val="009B7712"/>
    <w:rsid w:val="009D0504"/>
    <w:rsid w:val="009F1293"/>
    <w:rsid w:val="00A25F60"/>
    <w:rsid w:val="00A3358E"/>
    <w:rsid w:val="00A45F68"/>
    <w:rsid w:val="00A54276"/>
    <w:rsid w:val="00A902AC"/>
    <w:rsid w:val="00A94C12"/>
    <w:rsid w:val="00AB3207"/>
    <w:rsid w:val="00AD40CE"/>
    <w:rsid w:val="00AE3657"/>
    <w:rsid w:val="00B15367"/>
    <w:rsid w:val="00B26E63"/>
    <w:rsid w:val="00B46BF9"/>
    <w:rsid w:val="00B6394B"/>
    <w:rsid w:val="00B733A6"/>
    <w:rsid w:val="00BB1D54"/>
    <w:rsid w:val="00BF4D3C"/>
    <w:rsid w:val="00C17266"/>
    <w:rsid w:val="00C65258"/>
    <w:rsid w:val="00C83F0D"/>
    <w:rsid w:val="00CA3257"/>
    <w:rsid w:val="00CB1DE5"/>
    <w:rsid w:val="00CF7075"/>
    <w:rsid w:val="00D258B3"/>
    <w:rsid w:val="00D34398"/>
    <w:rsid w:val="00D42D06"/>
    <w:rsid w:val="00D50C10"/>
    <w:rsid w:val="00D53223"/>
    <w:rsid w:val="00D62578"/>
    <w:rsid w:val="00D62E0D"/>
    <w:rsid w:val="00D76202"/>
    <w:rsid w:val="00D85071"/>
    <w:rsid w:val="00D87C3D"/>
    <w:rsid w:val="00E06A1C"/>
    <w:rsid w:val="00E435C1"/>
    <w:rsid w:val="00E44A26"/>
    <w:rsid w:val="00E453E3"/>
    <w:rsid w:val="00E56946"/>
    <w:rsid w:val="00E6562B"/>
    <w:rsid w:val="00E7129A"/>
    <w:rsid w:val="00EA37D7"/>
    <w:rsid w:val="00EA64A3"/>
    <w:rsid w:val="00EF1777"/>
    <w:rsid w:val="00F24237"/>
    <w:rsid w:val="00FC501E"/>
    <w:rsid w:val="00FD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F02E44"/>
  <w15:docId w15:val="{B5DDFE1B-8009-434E-BE85-31BCD0E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1B"/>
    <w:pPr>
      <w:framePr w:hSpace="180" w:wrap="around" w:vAnchor="text" w:hAnchor="text" w:x="1051" w:y="925"/>
      <w:spacing w:after="0"/>
    </w:pPr>
    <w:rPr>
      <w:sz w:val="26"/>
    </w:rPr>
  </w:style>
  <w:style w:type="paragraph" w:styleId="Heading1">
    <w:name w:val="heading 1"/>
    <w:basedOn w:val="Normal"/>
    <w:next w:val="Normal"/>
    <w:link w:val="Heading1Char"/>
    <w:uiPriority w:val="9"/>
    <w:qFormat/>
    <w:rsid w:val="000E7E1B"/>
    <w:pPr>
      <w:keepNext/>
      <w:keepLines/>
      <w:framePr w:wrap="around"/>
      <w:outlineLvl w:val="0"/>
    </w:pPr>
    <w:rPr>
      <w:rFonts w:asciiTheme="majorHAnsi" w:eastAsiaTheme="majorEastAsia" w:hAnsiTheme="majorHAnsi" w:cstheme="majorBidi"/>
      <w:b/>
      <w:color w:val="292561" w:themeColor="text2"/>
      <w:sz w:val="32"/>
      <w:szCs w:val="32"/>
    </w:rPr>
  </w:style>
  <w:style w:type="paragraph" w:styleId="Heading2">
    <w:name w:val="heading 2"/>
    <w:basedOn w:val="Normal"/>
    <w:next w:val="Normal"/>
    <w:link w:val="Heading2Char"/>
    <w:uiPriority w:val="9"/>
    <w:unhideWhenUsed/>
    <w:qFormat/>
    <w:rsid w:val="000E7E1B"/>
    <w:pPr>
      <w:keepNext/>
      <w:keepLines/>
      <w:framePr w:wrap="around"/>
      <w:spacing w:before="40"/>
      <w:outlineLvl w:val="1"/>
    </w:pPr>
    <w:rPr>
      <w:rFonts w:asciiTheme="majorHAnsi" w:eastAsiaTheme="majorEastAsia" w:hAnsiTheme="majorHAnsi" w:cstheme="majorBidi"/>
      <w:color w:val="0084DC" w:themeColor="accent1" w:themeShade="BF"/>
      <w:szCs w:val="26"/>
    </w:rPr>
  </w:style>
  <w:style w:type="paragraph" w:styleId="Heading3">
    <w:name w:val="heading 3"/>
    <w:basedOn w:val="Heading2"/>
    <w:next w:val="Normal"/>
    <w:link w:val="Heading3Char"/>
    <w:uiPriority w:val="9"/>
    <w:unhideWhenUsed/>
    <w:qFormat/>
    <w:rsid w:val="000E7E1B"/>
    <w:pPr>
      <w:framePr w:wrap="around" w:y="334"/>
      <w:outlineLvl w:val="2"/>
    </w:pPr>
    <w:rPr>
      <w:b/>
      <w:color w:val="292561"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DB1"/>
    <w:pPr>
      <w:framePr w:wrap="around"/>
      <w:tabs>
        <w:tab w:val="center" w:pos="4680"/>
        <w:tab w:val="right" w:pos="9360"/>
      </w:tabs>
      <w:spacing w:line="240" w:lineRule="auto"/>
    </w:pPr>
  </w:style>
  <w:style w:type="character" w:customStyle="1" w:styleId="HeaderChar">
    <w:name w:val="Header Char"/>
    <w:basedOn w:val="DefaultParagraphFont"/>
    <w:link w:val="Header"/>
    <w:uiPriority w:val="99"/>
    <w:rsid w:val="00026DB1"/>
  </w:style>
  <w:style w:type="paragraph" w:styleId="Footer">
    <w:name w:val="footer"/>
    <w:basedOn w:val="Normal"/>
    <w:link w:val="FooterChar"/>
    <w:uiPriority w:val="99"/>
    <w:unhideWhenUsed/>
    <w:rsid w:val="00026DB1"/>
    <w:pPr>
      <w:framePr w:wrap="around"/>
      <w:tabs>
        <w:tab w:val="center" w:pos="4680"/>
        <w:tab w:val="right" w:pos="9360"/>
      </w:tabs>
      <w:spacing w:line="240" w:lineRule="auto"/>
    </w:pPr>
  </w:style>
  <w:style w:type="character" w:customStyle="1" w:styleId="FooterChar">
    <w:name w:val="Footer Char"/>
    <w:basedOn w:val="DefaultParagraphFont"/>
    <w:link w:val="Footer"/>
    <w:uiPriority w:val="99"/>
    <w:rsid w:val="00026DB1"/>
  </w:style>
  <w:style w:type="character" w:styleId="PlaceholderText">
    <w:name w:val="Placeholder Text"/>
    <w:basedOn w:val="DefaultParagraphFont"/>
    <w:uiPriority w:val="99"/>
    <w:semiHidden/>
    <w:rsid w:val="00B733A6"/>
    <w:rPr>
      <w:color w:val="808080"/>
    </w:rPr>
  </w:style>
  <w:style w:type="table" w:styleId="TableGrid">
    <w:name w:val="Table Grid"/>
    <w:basedOn w:val="TableNormal"/>
    <w:uiPriority w:val="39"/>
    <w:rsid w:val="00D4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Indent"/>
    <w:next w:val="Normal"/>
    <w:link w:val="SalutationChar"/>
    <w:uiPriority w:val="4"/>
    <w:unhideWhenUsed/>
    <w:qFormat/>
    <w:rsid w:val="00253349"/>
    <w:pPr>
      <w:framePr w:wrap="around"/>
      <w:spacing w:after="200" w:line="276" w:lineRule="auto"/>
      <w:ind w:left="0"/>
    </w:pPr>
    <w:rPr>
      <w:rFonts w:cstheme="minorHAnsi"/>
      <w:b/>
      <w:color w:val="1E1B48" w:themeColor="text2" w:themeShade="BF"/>
      <w:sz w:val="20"/>
      <w:szCs w:val="20"/>
      <w:lang w:eastAsia="ja-JP"/>
    </w:rPr>
  </w:style>
  <w:style w:type="character" w:customStyle="1" w:styleId="SalutationChar">
    <w:name w:val="Salutation Char"/>
    <w:basedOn w:val="DefaultParagraphFont"/>
    <w:link w:val="Salutation"/>
    <w:uiPriority w:val="4"/>
    <w:rsid w:val="00253349"/>
    <w:rPr>
      <w:rFonts w:cstheme="minorHAnsi"/>
      <w:b/>
      <w:color w:val="1E1B48" w:themeColor="text2" w:themeShade="BF"/>
      <w:sz w:val="20"/>
      <w:szCs w:val="20"/>
      <w:lang w:eastAsia="ja-JP"/>
    </w:rPr>
  </w:style>
  <w:style w:type="paragraph" w:styleId="NormalIndent">
    <w:name w:val="Normal Indent"/>
    <w:basedOn w:val="Normal"/>
    <w:uiPriority w:val="99"/>
    <w:semiHidden/>
    <w:unhideWhenUsed/>
    <w:rsid w:val="00253349"/>
    <w:pPr>
      <w:framePr w:wrap="around"/>
      <w:ind w:left="720"/>
    </w:pPr>
  </w:style>
  <w:style w:type="paragraph" w:styleId="BalloonText">
    <w:name w:val="Balloon Text"/>
    <w:basedOn w:val="Normal"/>
    <w:link w:val="BalloonTextChar"/>
    <w:uiPriority w:val="99"/>
    <w:semiHidden/>
    <w:unhideWhenUsed/>
    <w:rsid w:val="00231C9E"/>
    <w:pPr>
      <w:framePr w:wrap="around"/>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9E"/>
    <w:rPr>
      <w:rFonts w:ascii="Tahoma" w:hAnsi="Tahoma" w:cs="Tahoma"/>
      <w:sz w:val="16"/>
      <w:szCs w:val="16"/>
      <w:lang w:val="de-DE"/>
    </w:rPr>
  </w:style>
  <w:style w:type="character" w:customStyle="1" w:styleId="Heading2Char">
    <w:name w:val="Heading 2 Char"/>
    <w:basedOn w:val="DefaultParagraphFont"/>
    <w:link w:val="Heading2"/>
    <w:uiPriority w:val="9"/>
    <w:rsid w:val="000E7E1B"/>
    <w:rPr>
      <w:rFonts w:asciiTheme="majorHAnsi" w:eastAsiaTheme="majorEastAsia" w:hAnsiTheme="majorHAnsi" w:cstheme="majorBidi"/>
      <w:color w:val="0084DC" w:themeColor="accent1" w:themeShade="BF"/>
      <w:sz w:val="26"/>
      <w:szCs w:val="26"/>
    </w:rPr>
  </w:style>
  <w:style w:type="character" w:customStyle="1" w:styleId="Heading3Char">
    <w:name w:val="Heading 3 Char"/>
    <w:basedOn w:val="DefaultParagraphFont"/>
    <w:link w:val="Heading3"/>
    <w:uiPriority w:val="9"/>
    <w:rsid w:val="000E7E1B"/>
    <w:rPr>
      <w:rFonts w:asciiTheme="majorHAnsi" w:eastAsiaTheme="majorEastAsia" w:hAnsiTheme="majorHAnsi" w:cstheme="majorBidi"/>
      <w:b/>
      <w:color w:val="292561" w:themeColor="text2"/>
      <w:sz w:val="28"/>
      <w:szCs w:val="26"/>
    </w:rPr>
  </w:style>
  <w:style w:type="character" w:customStyle="1" w:styleId="Heading1Char">
    <w:name w:val="Heading 1 Char"/>
    <w:basedOn w:val="DefaultParagraphFont"/>
    <w:link w:val="Heading1"/>
    <w:uiPriority w:val="9"/>
    <w:rsid w:val="000E7E1B"/>
    <w:rPr>
      <w:rFonts w:asciiTheme="majorHAnsi" w:eastAsiaTheme="majorEastAsia" w:hAnsiTheme="majorHAnsi" w:cstheme="majorBidi"/>
      <w:b/>
      <w:color w:val="292561" w:themeColor="text2"/>
      <w:sz w:val="32"/>
      <w:szCs w:val="32"/>
    </w:rPr>
  </w:style>
  <w:style w:type="paragraph" w:styleId="NoSpacing">
    <w:name w:val="No Spacing"/>
    <w:basedOn w:val="Normal"/>
    <w:uiPriority w:val="1"/>
    <w:qFormat/>
    <w:rsid w:val="000E7E1B"/>
    <w:pPr>
      <w:framePr w:wrap="around" w:y="334"/>
    </w:pPr>
  </w:style>
  <w:style w:type="paragraph" w:customStyle="1" w:styleId="Content">
    <w:name w:val="Content"/>
    <w:basedOn w:val="Normal"/>
    <w:link w:val="ContentChar"/>
    <w:qFormat/>
    <w:rsid w:val="000E7E1B"/>
    <w:pPr>
      <w:framePr w:wrap="around" w:y="334"/>
      <w:spacing w:after="160"/>
    </w:pPr>
    <w:rPr>
      <w:sz w:val="24"/>
      <w:szCs w:val="24"/>
    </w:rPr>
  </w:style>
  <w:style w:type="character" w:customStyle="1" w:styleId="ContentChar">
    <w:name w:val="Content Char"/>
    <w:basedOn w:val="DefaultParagraphFont"/>
    <w:link w:val="Content"/>
    <w:rsid w:val="000E7E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H\AppData\Roaming\Microsoft\Templates\Business%20letter%20(blue%20border%20and%20color%20gradient).dotx" TargetMode="External"/></Relationships>
</file>

<file path=word/theme/theme1.xml><?xml version="1.0" encoding="utf-8"?>
<a:theme xmlns:a="http://schemas.openxmlformats.org/drawingml/2006/main" name="Office Theme">
  <a:themeElements>
    <a:clrScheme name="Custom 12">
      <a:dk1>
        <a:srgbClr val="0F0F3F"/>
      </a:dk1>
      <a:lt1>
        <a:sysClr val="window" lastClr="FFFFFF"/>
      </a:lt1>
      <a:dk2>
        <a:srgbClr val="292561"/>
      </a:dk2>
      <a:lt2>
        <a:srgbClr val="F2F2F2"/>
      </a:lt2>
      <a:accent1>
        <a:srgbClr val="27A9FF"/>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E07EE9-7B08-40B7-86CD-C2CF92C9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(blue border and color gradient)</Template>
  <TotalTime>1</TotalTime>
  <Pages>1</Pages>
  <Words>14</Words>
  <Characters>81</Characters>
  <Application>Microsoft Office Word</Application>
  <DocSecurity>8</DocSecurity>
  <Lines>1</Lines>
  <Paragraphs>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BTH</dc:creator>
  <cp:lastModifiedBy>Bayode Toks Hambolu</cp:lastModifiedBy>
  <cp:revision>4</cp:revision>
  <dcterms:created xsi:type="dcterms:W3CDTF">2021-04-18T12:49:00Z</dcterms:created>
  <dcterms:modified xsi:type="dcterms:W3CDTF">2021-04-18T15:24:00Z</dcterms:modified>
</cp:coreProperties>
</file>